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7920" w:type="dxa"/>
        <w:tblInd w:w="-144" w:type="dxa"/>
        <w:tblBorders>
          <w:top w:val="none" w:sz="0" w:space="0" w:color="auto"/>
          <w:left w:val="none" w:sz="0" w:space="0" w:color="auto"/>
          <w:bottom w:val="single" w:sz="8" w:space="0" w:color="E7E6E6" w:themeColor="background2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44" w:type="dxa"/>
          <w:right w:w="0" w:type="dxa"/>
        </w:tblCellMar>
        <w:tblLook w:val="04A0" w:firstRow="1" w:lastRow="0" w:firstColumn="1" w:lastColumn="0" w:noHBand="0" w:noVBand="1"/>
        <w:tblDescription w:val="Header layout table"/>
      </w:tblPr>
      <w:tblGrid>
        <w:gridCol w:w="7920"/>
      </w:tblGrid>
      <w:tr w:rsidR="0004124D" w14:paraId="0DCFFA13" w14:textId="77777777" w:rsidTr="00257678">
        <w:trPr>
          <w:trHeight w:val="1173"/>
        </w:trPr>
        <w:tc>
          <w:tcPr>
            <w:tcW w:w="7920" w:type="dxa"/>
            <w:tcBorders>
              <w:bottom w:val="single" w:sz="8" w:space="0" w:color="E7E6E6" w:themeColor="background2"/>
            </w:tcBorders>
          </w:tcPr>
          <w:p w14:paraId="0279982F" w14:textId="77777777" w:rsidR="0004124D" w:rsidRDefault="0004124D" w:rsidP="00257678">
            <w:pPr>
              <w:pStyle w:val="CompanyName"/>
            </w:pPr>
            <w:r>
              <w:rPr>
                <w:noProof/>
              </w:rPr>
              <w:drawing>
                <wp:inline distT="0" distB="0" distL="0" distR="0" wp14:anchorId="43F73E9A" wp14:editId="7F296CE3">
                  <wp:extent cx="3313176" cy="1249680"/>
                  <wp:effectExtent l="0" t="0" r="1905" b="762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New FFF Logo Higher Res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3176" cy="1249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124D" w14:paraId="2A43C272" w14:textId="77777777" w:rsidTr="00257678">
        <w:trPr>
          <w:trHeight w:hRule="exact" w:val="86"/>
        </w:trPr>
        <w:tc>
          <w:tcPr>
            <w:tcW w:w="7920" w:type="dxa"/>
            <w:tcBorders>
              <w:top w:val="single" w:sz="8" w:space="0" w:color="E7E6E6" w:themeColor="background2"/>
              <w:bottom w:val="nil"/>
            </w:tcBorders>
          </w:tcPr>
          <w:p w14:paraId="7EB96AD1" w14:textId="77777777" w:rsidR="0004124D" w:rsidRDefault="0004124D" w:rsidP="00257678">
            <w:pPr>
              <w:pStyle w:val="Header"/>
            </w:pPr>
          </w:p>
        </w:tc>
      </w:tr>
    </w:tbl>
    <w:p w14:paraId="04876643" w14:textId="77777777" w:rsidR="0004124D" w:rsidRDefault="0004124D" w:rsidP="0004124D">
      <w:pPr>
        <w:pStyle w:val="NormalWeb"/>
        <w:jc w:val="center"/>
      </w:pPr>
      <w:r>
        <w:rPr>
          <w:sz w:val="45"/>
          <w:szCs w:val="45"/>
        </w:rPr>
        <w:t>Fluid Fertilizer Foundation</w:t>
      </w:r>
      <w:r>
        <w:rPr>
          <w:sz w:val="45"/>
          <w:szCs w:val="45"/>
        </w:rPr>
        <w:br/>
        <w:t>Technology Workshop</w:t>
      </w:r>
      <w:r>
        <w:rPr>
          <w:sz w:val="45"/>
          <w:szCs w:val="45"/>
        </w:rPr>
        <w:br/>
        <w:t>December 11 &amp; 12</w:t>
      </w:r>
      <w:r>
        <w:rPr>
          <w:sz w:val="45"/>
          <w:szCs w:val="45"/>
        </w:rPr>
        <w:br/>
        <w:t>Ameristar Hotel and Casino</w:t>
      </w:r>
    </w:p>
    <w:p w14:paraId="596AB975" w14:textId="77777777" w:rsidR="0004124D" w:rsidRDefault="0004124D" w:rsidP="0004124D">
      <w:r>
        <w:t>Agenda</w:t>
      </w:r>
    </w:p>
    <w:p w14:paraId="6E59A248" w14:textId="77777777" w:rsidR="0004124D" w:rsidRDefault="0004124D" w:rsidP="0004124D">
      <w:r>
        <w:t>Time</w:t>
      </w:r>
      <w:r>
        <w:tab/>
        <w:t>Topic</w:t>
      </w:r>
    </w:p>
    <w:p w14:paraId="7FB389C1" w14:textId="77777777" w:rsidR="0004124D" w:rsidRDefault="0004124D" w:rsidP="0004124D">
      <w:pPr>
        <w:tabs>
          <w:tab w:val="left" w:pos="1530"/>
        </w:tabs>
      </w:pPr>
      <w:r>
        <w:t>Dec. 11</w:t>
      </w:r>
      <w:r>
        <w:tab/>
      </w:r>
    </w:p>
    <w:p w14:paraId="25B8BD02" w14:textId="77777777" w:rsidR="0004124D" w:rsidRDefault="0004124D" w:rsidP="0004124D">
      <w:pPr>
        <w:tabs>
          <w:tab w:val="left" w:pos="1530"/>
        </w:tabs>
      </w:pPr>
      <w:r>
        <w:t>10:00 AM</w:t>
      </w:r>
      <w:r>
        <w:tab/>
        <w:t>Registration Open</w:t>
      </w:r>
    </w:p>
    <w:p w14:paraId="3B37AE00" w14:textId="77777777" w:rsidR="0004124D" w:rsidRDefault="0004124D" w:rsidP="0004124D">
      <w:pPr>
        <w:tabs>
          <w:tab w:val="left" w:pos="1530"/>
        </w:tabs>
      </w:pPr>
      <w:r>
        <w:t>12:20 PM</w:t>
      </w:r>
      <w:r>
        <w:tab/>
        <w:t>Welcome and Announcements</w:t>
      </w:r>
    </w:p>
    <w:p w14:paraId="621AF949" w14:textId="77777777" w:rsidR="0004124D" w:rsidRDefault="0004124D" w:rsidP="0004124D">
      <w:pPr>
        <w:tabs>
          <w:tab w:val="left" w:pos="1530"/>
        </w:tabs>
      </w:pPr>
      <w:r>
        <w:t>12:30 PM</w:t>
      </w:r>
      <w:r>
        <w:tab/>
        <w:t>Lessons Learned, Safety is for Everyone</w:t>
      </w:r>
    </w:p>
    <w:p w14:paraId="3FDA43B4" w14:textId="77777777" w:rsidR="0004124D" w:rsidRDefault="0004124D" w:rsidP="0004124D">
      <w:pPr>
        <w:tabs>
          <w:tab w:val="left" w:pos="1530"/>
        </w:tabs>
      </w:pPr>
      <w:r>
        <w:t>1:20 PM</w:t>
      </w:r>
      <w:r>
        <w:tab/>
        <w:t>Water Issues facing agriculture</w:t>
      </w:r>
    </w:p>
    <w:p w14:paraId="33643698" w14:textId="77777777" w:rsidR="0004124D" w:rsidRDefault="0004124D" w:rsidP="0004124D">
      <w:pPr>
        <w:tabs>
          <w:tab w:val="left" w:pos="1530"/>
        </w:tabs>
      </w:pPr>
      <w:r>
        <w:t>1:50 PM</w:t>
      </w:r>
      <w:r>
        <w:tab/>
        <w:t>Automation technology and process control</w:t>
      </w:r>
    </w:p>
    <w:p w14:paraId="268F35C5" w14:textId="77777777" w:rsidR="0004124D" w:rsidRDefault="0004124D" w:rsidP="0004124D">
      <w:pPr>
        <w:tabs>
          <w:tab w:val="left" w:pos="1530"/>
        </w:tabs>
      </w:pPr>
      <w:r>
        <w:t>2:40 PM</w:t>
      </w:r>
      <w:r>
        <w:tab/>
        <w:t>Break</w:t>
      </w:r>
    </w:p>
    <w:p w14:paraId="5F0E8428" w14:textId="77777777" w:rsidR="0004124D" w:rsidRDefault="0004124D" w:rsidP="0004124D">
      <w:pPr>
        <w:tabs>
          <w:tab w:val="left" w:pos="1530"/>
        </w:tabs>
      </w:pPr>
      <w:r>
        <w:t>3:10 PM</w:t>
      </w:r>
      <w:r>
        <w:tab/>
        <w:t>Fertilizer Formulation</w:t>
      </w:r>
    </w:p>
    <w:p w14:paraId="4AF0D835" w14:textId="77777777" w:rsidR="0004124D" w:rsidRDefault="0004124D" w:rsidP="0004124D">
      <w:pPr>
        <w:tabs>
          <w:tab w:val="left" w:pos="1530"/>
        </w:tabs>
      </w:pPr>
      <w:r>
        <w:t>4:00 PM</w:t>
      </w:r>
      <w:r>
        <w:tab/>
        <w:t>Plumbing and piping</w:t>
      </w:r>
    </w:p>
    <w:p w14:paraId="14A355C1" w14:textId="77777777" w:rsidR="0004124D" w:rsidRDefault="0004124D" w:rsidP="0004124D">
      <w:pPr>
        <w:tabs>
          <w:tab w:val="left" w:pos="1530"/>
        </w:tabs>
        <w:ind w:left="1530" w:hanging="1530"/>
      </w:pPr>
      <w:r>
        <w:t>4:50 PM</w:t>
      </w:r>
      <w:r>
        <w:tab/>
        <w:t>Winter salt out and freezing issues. Storage and compatibility Properties of different formulations</w:t>
      </w:r>
    </w:p>
    <w:p w14:paraId="591D8130" w14:textId="77777777" w:rsidR="0004124D" w:rsidRDefault="0004124D" w:rsidP="0004124D">
      <w:pPr>
        <w:tabs>
          <w:tab w:val="left" w:pos="1530"/>
        </w:tabs>
      </w:pPr>
      <w:r>
        <w:t>5:30 PM</w:t>
      </w:r>
      <w:r>
        <w:tab/>
        <w:t>Reception</w:t>
      </w:r>
    </w:p>
    <w:p w14:paraId="5BF1F17E" w14:textId="77777777" w:rsidR="0004124D" w:rsidRDefault="0004124D" w:rsidP="0004124D">
      <w:pPr>
        <w:tabs>
          <w:tab w:val="left" w:pos="1530"/>
        </w:tabs>
      </w:pPr>
      <w:r>
        <w:t>7:00 PM</w:t>
      </w:r>
      <w:r>
        <w:tab/>
        <w:t>End of day</w:t>
      </w:r>
    </w:p>
    <w:p w14:paraId="6BCA4D8E" w14:textId="77777777" w:rsidR="0004124D" w:rsidRDefault="0004124D" w:rsidP="0004124D">
      <w:pPr>
        <w:tabs>
          <w:tab w:val="left" w:pos="1530"/>
        </w:tabs>
      </w:pPr>
      <w:r>
        <w:t>Dec. 12</w:t>
      </w:r>
      <w:r>
        <w:tab/>
      </w:r>
    </w:p>
    <w:p w14:paraId="4B0E382C" w14:textId="77777777" w:rsidR="0004124D" w:rsidRDefault="0004124D" w:rsidP="0004124D">
      <w:pPr>
        <w:tabs>
          <w:tab w:val="left" w:pos="1530"/>
        </w:tabs>
      </w:pPr>
      <w:r>
        <w:t>8:00</w:t>
      </w:r>
      <w:r>
        <w:tab/>
        <w:t>Y Drop research and rationale</w:t>
      </w:r>
    </w:p>
    <w:p w14:paraId="7B8DC5EC" w14:textId="77777777" w:rsidR="0004124D" w:rsidRDefault="0004124D" w:rsidP="0004124D">
      <w:pPr>
        <w:tabs>
          <w:tab w:val="left" w:pos="1530"/>
        </w:tabs>
      </w:pPr>
      <w:r>
        <w:t>8:30 AM</w:t>
      </w:r>
      <w:r>
        <w:tab/>
        <w:t>Precision Seed &amp; Fertilizer Application Systems</w:t>
      </w:r>
    </w:p>
    <w:p w14:paraId="08EEFC0E" w14:textId="77777777" w:rsidR="0004124D" w:rsidRDefault="0004124D" w:rsidP="0004124D">
      <w:pPr>
        <w:tabs>
          <w:tab w:val="left" w:pos="1530"/>
        </w:tabs>
      </w:pPr>
      <w:r>
        <w:t>9:20 AM</w:t>
      </w:r>
      <w:r>
        <w:tab/>
        <w:t>Break</w:t>
      </w:r>
    </w:p>
    <w:p w14:paraId="53484860" w14:textId="77777777" w:rsidR="0004124D" w:rsidRDefault="0004124D" w:rsidP="0004124D">
      <w:pPr>
        <w:tabs>
          <w:tab w:val="left" w:pos="1530"/>
        </w:tabs>
        <w:ind w:left="1530" w:hanging="1530"/>
      </w:pPr>
      <w:r>
        <w:t>9:50 AM</w:t>
      </w:r>
      <w:r>
        <w:tab/>
        <w:t>Bundling Liquid Starter Fertilizers to Improve Nutrient Use Efficiency</w:t>
      </w:r>
    </w:p>
    <w:p w14:paraId="170D79EC" w14:textId="77777777" w:rsidR="0004124D" w:rsidRDefault="0004124D" w:rsidP="0004124D">
      <w:pPr>
        <w:tabs>
          <w:tab w:val="left" w:pos="1530"/>
        </w:tabs>
      </w:pPr>
      <w:r>
        <w:t>10:20 AM</w:t>
      </w:r>
      <w:r>
        <w:tab/>
        <w:t>Cover crop steps to success</w:t>
      </w:r>
    </w:p>
    <w:p w14:paraId="7B0B0D8D" w14:textId="77777777" w:rsidR="0004124D" w:rsidRDefault="0004124D" w:rsidP="0004124D">
      <w:pPr>
        <w:tabs>
          <w:tab w:val="left" w:pos="1530"/>
        </w:tabs>
      </w:pPr>
      <w:r>
        <w:t>10:50 AM</w:t>
      </w:r>
      <w:r>
        <w:tab/>
        <w:t>Tips on staying out of Court</w:t>
      </w:r>
    </w:p>
    <w:p w14:paraId="7213CA9D" w14:textId="77777777" w:rsidR="0004124D" w:rsidRDefault="0004124D" w:rsidP="0004124D">
      <w:pPr>
        <w:tabs>
          <w:tab w:val="left" w:pos="1530"/>
        </w:tabs>
      </w:pPr>
      <w:r>
        <w:t>11:20 AM</w:t>
      </w:r>
      <w:r>
        <w:tab/>
        <w:t>Banding Liquids</w:t>
      </w:r>
    </w:p>
    <w:p w14:paraId="6CFAE901" w14:textId="7C50D48E" w:rsidR="00865947" w:rsidRPr="0004124D" w:rsidRDefault="0004124D" w:rsidP="0004124D">
      <w:r>
        <w:t>12:10 PM</w:t>
      </w:r>
      <w:r>
        <w:tab/>
        <w:t>Adjourn</w:t>
      </w:r>
      <w:bookmarkStart w:id="0" w:name="_GoBack"/>
      <w:bookmarkEnd w:id="0"/>
    </w:p>
    <w:sectPr w:rsidR="00865947" w:rsidRPr="000412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795"/>
    <w:rsid w:val="0004124D"/>
    <w:rsid w:val="007E73C9"/>
    <w:rsid w:val="00865947"/>
    <w:rsid w:val="00887E55"/>
    <w:rsid w:val="00A51626"/>
    <w:rsid w:val="00A80F60"/>
    <w:rsid w:val="00BE4221"/>
    <w:rsid w:val="00D50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6992C"/>
  <w15:chartTrackingRefBased/>
  <w15:docId w15:val="{E669A097-8589-41EC-806D-4BECC96C8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124D"/>
    <w:pPr>
      <w:spacing w:after="0" w:line="240" w:lineRule="auto"/>
    </w:pPr>
    <w:rPr>
      <w:rFonts w:eastAsiaTheme="minorEastAsia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124D"/>
    <w:rPr>
      <w:rFonts w:ascii="Garamond" w:hAnsi="Garamond"/>
      <w:color w:val="595959" w:themeColor="text1" w:themeTint="A6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04124D"/>
    <w:rPr>
      <w:rFonts w:ascii="Garamond" w:eastAsiaTheme="minorEastAsia" w:hAnsi="Garamond"/>
      <w:color w:val="595959" w:themeColor="text1" w:themeTint="A6"/>
      <w:sz w:val="20"/>
      <w:szCs w:val="24"/>
      <w:lang w:eastAsia="ja-JP"/>
    </w:rPr>
  </w:style>
  <w:style w:type="paragraph" w:customStyle="1" w:styleId="CompanyName">
    <w:name w:val="Company Name"/>
    <w:basedOn w:val="Normal"/>
    <w:next w:val="Normal"/>
    <w:uiPriority w:val="1"/>
    <w:qFormat/>
    <w:rsid w:val="0004124D"/>
    <w:pPr>
      <w:spacing w:after="120"/>
    </w:pPr>
    <w:rPr>
      <w:rFonts w:ascii="Garamond" w:hAnsi="Garamond"/>
      <w:color w:val="2F5496" w:themeColor="accent1" w:themeShade="BF"/>
      <w:sz w:val="56"/>
    </w:rPr>
  </w:style>
  <w:style w:type="table" w:styleId="TableGrid">
    <w:name w:val="Table Grid"/>
    <w:basedOn w:val="TableNormal"/>
    <w:uiPriority w:val="39"/>
    <w:rsid w:val="0004124D"/>
    <w:pPr>
      <w:spacing w:after="0" w:line="240" w:lineRule="auto"/>
    </w:pPr>
    <w:rPr>
      <w:rFonts w:eastAsiaTheme="minorEastAsia"/>
      <w:sz w:val="24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4124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12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24D"/>
    <w:rPr>
      <w:rFonts w:ascii="Segoe UI" w:eastAsiaTheme="minorEastAsia" w:hAnsi="Segoe UI" w:cs="Segoe U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Raun Lohry</dc:creator>
  <cp:keywords/>
  <dc:description/>
  <cp:lastModifiedBy>Raun Lohry</cp:lastModifiedBy>
  <cp:revision>3</cp:revision>
  <cp:lastPrinted>2019-10-07T01:38:00Z</cp:lastPrinted>
  <dcterms:created xsi:type="dcterms:W3CDTF">2019-10-07T01:39:00Z</dcterms:created>
  <dcterms:modified xsi:type="dcterms:W3CDTF">2019-10-31T02:13:00Z</dcterms:modified>
</cp:coreProperties>
</file>